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191565">
        <w:rPr>
          <w:szCs w:val="20"/>
        </w:rPr>
        <w:t>кадемске</w:t>
      </w:r>
      <w:proofErr w:type="spellEnd"/>
      <w:r w:rsidR="00191565">
        <w:rPr>
          <w:szCs w:val="20"/>
        </w:rPr>
        <w:t xml:space="preserve"> </w:t>
      </w:r>
      <w:proofErr w:type="spellStart"/>
      <w:r w:rsidR="00191565">
        <w:rPr>
          <w:szCs w:val="20"/>
        </w:rPr>
        <w:t>студије</w:t>
      </w:r>
      <w:proofErr w:type="spellEnd"/>
      <w:r w:rsidR="00191565">
        <w:rPr>
          <w:szCs w:val="20"/>
        </w:rPr>
        <w:t xml:space="preserve"> у </w:t>
      </w:r>
      <w:proofErr w:type="spellStart"/>
      <w:r w:rsidR="00191565">
        <w:rPr>
          <w:szCs w:val="20"/>
        </w:rPr>
        <w:t>школској</w:t>
      </w:r>
      <w:proofErr w:type="spellEnd"/>
      <w:r w:rsidR="00191565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Pr="001F6423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1F6423">
        <w:rPr>
          <w:szCs w:val="20"/>
          <w:lang/>
        </w:rPr>
        <w:t>Мастер академске студије политикологије – Студије рода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323A30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1F642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1F642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1F642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1F642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636D5" w:rsidP="001F6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1F642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1F642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6" w:type="dxa"/>
          </w:tcPr>
          <w:p w:rsidR="008C0341" w:rsidRPr="00323A30" w:rsidRDefault="001F6423" w:rsidP="005959CD">
            <w:pPr>
              <w:rPr>
                <w:b/>
                <w:bCs/>
                <w:szCs w:val="20"/>
                <w:lang/>
              </w:rPr>
            </w:pPr>
            <w:r w:rsidRPr="00323A30">
              <w:rPr>
                <w:b/>
                <w:bCs/>
                <w:szCs w:val="20"/>
                <w:lang/>
              </w:rPr>
              <w:t>Јована Ђокић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46,6</w:t>
            </w:r>
            <w:r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769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96,60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6" w:type="dxa"/>
          </w:tcPr>
          <w:p w:rsidR="008C0341" w:rsidRPr="00323A30" w:rsidRDefault="001F6423" w:rsidP="005959CD">
            <w:pPr>
              <w:rPr>
                <w:b/>
                <w:bCs/>
                <w:szCs w:val="20"/>
                <w:lang/>
              </w:rPr>
            </w:pPr>
            <w:r w:rsidRPr="00323A30">
              <w:rPr>
                <w:b/>
                <w:bCs/>
                <w:szCs w:val="20"/>
                <w:lang/>
              </w:rPr>
              <w:t>Вања Петровић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45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769" w:type="dxa"/>
          </w:tcPr>
          <w:p w:rsidR="008C0341" w:rsidRPr="001F6423" w:rsidRDefault="001A1057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  <w:r w:rsidR="001F6423"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1A1057">
              <w:rPr>
                <w:szCs w:val="20"/>
              </w:rPr>
              <w:t>5</w:t>
            </w:r>
            <w:r>
              <w:rPr>
                <w:szCs w:val="20"/>
              </w:rPr>
              <w:t>,00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546" w:type="dxa"/>
          </w:tcPr>
          <w:p w:rsidR="008C0341" w:rsidRPr="00323A30" w:rsidRDefault="001F6423" w:rsidP="005959CD">
            <w:pPr>
              <w:rPr>
                <w:b/>
                <w:bCs/>
                <w:szCs w:val="20"/>
                <w:lang/>
              </w:rPr>
            </w:pPr>
            <w:r w:rsidRPr="00323A30">
              <w:rPr>
                <w:b/>
                <w:bCs/>
                <w:szCs w:val="20"/>
                <w:lang/>
              </w:rPr>
              <w:t>Јована Петковић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42,15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</w:tcPr>
          <w:p w:rsidR="008C0341" w:rsidRPr="001F6423" w:rsidRDefault="00323A30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  <w:r w:rsidR="001F6423"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82,15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46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Катарина Јурчевић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38,7</w:t>
            </w:r>
            <w:r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769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323A30">
              <w:rPr>
                <w:szCs w:val="20"/>
                <w:lang/>
              </w:rPr>
              <w:t>5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75,70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46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 Ђушић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38,15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769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323A30">
              <w:rPr>
                <w:szCs w:val="20"/>
                <w:lang/>
              </w:rPr>
              <w:t>5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75,15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546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Милена Стошић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43,05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2,00</w:t>
            </w:r>
          </w:p>
        </w:tc>
        <w:tc>
          <w:tcPr>
            <w:tcW w:w="1769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  <w:r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50,05</w:t>
            </w:r>
          </w:p>
        </w:tc>
      </w:tr>
      <w:tr w:rsidR="008C0341" w:rsidTr="00323A30">
        <w:trPr>
          <w:jc w:val="center"/>
        </w:trPr>
        <w:tc>
          <w:tcPr>
            <w:tcW w:w="789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46" w:type="dxa"/>
          </w:tcPr>
          <w:p w:rsidR="008C0341" w:rsidRPr="001F6423" w:rsidRDefault="001F64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Ана Котур Еркић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35,15</w:t>
            </w:r>
          </w:p>
        </w:tc>
        <w:tc>
          <w:tcPr>
            <w:tcW w:w="958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</w:tcPr>
          <w:p w:rsidR="008C0341" w:rsidRPr="001F6423" w:rsidRDefault="001F6423" w:rsidP="001F642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5,00</w:t>
            </w:r>
          </w:p>
        </w:tc>
        <w:tc>
          <w:tcPr>
            <w:tcW w:w="1223" w:type="dxa"/>
          </w:tcPr>
          <w:p w:rsidR="008C0341" w:rsidRDefault="00323A30" w:rsidP="001F64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40,15</w:t>
            </w:r>
          </w:p>
        </w:tc>
      </w:tr>
      <w:tr w:rsidR="00F86F9D" w:rsidTr="00323A30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1A1057">
        <w:rPr>
          <w:szCs w:val="20"/>
          <w:lang/>
        </w:rPr>
        <w:t xml:space="preserve">    </w:t>
      </w:r>
      <w:proofErr w:type="spellStart"/>
      <w:r>
        <w:rPr>
          <w:szCs w:val="20"/>
        </w:rPr>
        <w:t>Чланови</w:t>
      </w:r>
      <w:proofErr w:type="spellEnd"/>
      <w:r w:rsidR="001A1057">
        <w:rPr>
          <w:szCs w:val="20"/>
        </w:rPr>
        <w:t xml:space="preserve"> </w:t>
      </w:r>
      <w:r w:rsidR="001A1057">
        <w:rPr>
          <w:szCs w:val="20"/>
          <w:lang/>
        </w:rPr>
        <w:t>и чланице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1A1057" w:rsidRDefault="001A1057" w:rsidP="005959CD">
      <w:pPr>
        <w:rPr>
          <w:szCs w:val="20"/>
        </w:rPr>
      </w:pPr>
    </w:p>
    <w:p w:rsidR="00323A30" w:rsidRDefault="00323A30" w:rsidP="005959CD">
      <w:pPr>
        <w:rPr>
          <w:szCs w:val="20"/>
        </w:rPr>
      </w:pPr>
    </w:p>
    <w:p w:rsidR="00F86F9D" w:rsidRDefault="00323A30" w:rsidP="00374E3F">
      <w:pPr>
        <w:jc w:val="right"/>
        <w:rPr>
          <w:szCs w:val="20"/>
        </w:rPr>
      </w:pPr>
      <w:r>
        <w:rPr>
          <w:szCs w:val="20"/>
          <w:lang/>
        </w:rPr>
        <w:t>_____________</w:t>
      </w:r>
      <w:r w:rsidR="00B95B52">
        <w:rPr>
          <w:szCs w:val="20"/>
        </w:rPr>
        <w:t>________________</w:t>
      </w:r>
    </w:p>
    <w:p w:rsidR="00323A30" w:rsidRDefault="00323A3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Катарина Лончаревић</w:t>
      </w:r>
    </w:p>
    <w:p w:rsidR="00323A30" w:rsidRPr="00323A30" w:rsidRDefault="00323A30" w:rsidP="00374E3F">
      <w:pPr>
        <w:jc w:val="right"/>
        <w:rPr>
          <w:szCs w:val="20"/>
          <w:lang/>
        </w:rPr>
      </w:pPr>
    </w:p>
    <w:p w:rsidR="00323A30" w:rsidRPr="00323A30" w:rsidRDefault="00374E3F" w:rsidP="00374E3F">
      <w:pPr>
        <w:jc w:val="right"/>
        <w:rPr>
          <w:szCs w:val="20"/>
          <w:lang/>
        </w:rPr>
      </w:pPr>
      <w:r>
        <w:rPr>
          <w:szCs w:val="20"/>
        </w:rPr>
        <w:t>________________</w:t>
      </w:r>
      <w:r w:rsidR="00323A30">
        <w:rPr>
          <w:szCs w:val="20"/>
          <w:lang/>
        </w:rPr>
        <w:t>_____________</w:t>
      </w:r>
    </w:p>
    <w:p w:rsidR="00323A30" w:rsidRDefault="00323A3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Марина Симић</w:t>
      </w:r>
    </w:p>
    <w:p w:rsidR="00323A30" w:rsidRPr="00323A30" w:rsidRDefault="00323A30" w:rsidP="00374E3F">
      <w:pPr>
        <w:jc w:val="right"/>
        <w:rPr>
          <w:szCs w:val="20"/>
          <w:lang/>
        </w:rPr>
      </w:pPr>
    </w:p>
    <w:p w:rsidR="00323A30" w:rsidRPr="00323A30" w:rsidRDefault="00374E3F" w:rsidP="00374E3F">
      <w:pPr>
        <w:jc w:val="right"/>
        <w:rPr>
          <w:szCs w:val="20"/>
          <w:lang/>
        </w:rPr>
      </w:pPr>
      <w:r>
        <w:rPr>
          <w:szCs w:val="20"/>
        </w:rPr>
        <w:t xml:space="preserve">  ________________</w:t>
      </w:r>
      <w:r w:rsidR="00323A30">
        <w:rPr>
          <w:szCs w:val="20"/>
          <w:lang/>
        </w:rPr>
        <w:t>_____________</w:t>
      </w:r>
    </w:p>
    <w:p w:rsidR="00374E3F" w:rsidRDefault="00323A30" w:rsidP="00374E3F">
      <w:pPr>
        <w:jc w:val="right"/>
        <w:rPr>
          <w:szCs w:val="20"/>
        </w:rPr>
      </w:pPr>
      <w:r>
        <w:rPr>
          <w:szCs w:val="20"/>
          <w:lang/>
        </w:rPr>
        <w:t>проф. др Марко Симендић</w:t>
      </w:r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323A30" w:rsidRDefault="00323A30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C6" w:rsidRDefault="002C6AC6">
      <w:r>
        <w:separator/>
      </w:r>
    </w:p>
  </w:endnote>
  <w:endnote w:type="continuationSeparator" w:id="0">
    <w:p w:rsidR="002C6AC6" w:rsidRDefault="002C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376726">
    <w:pPr>
      <w:pStyle w:val="Footer"/>
      <w:jc w:val="right"/>
    </w:pPr>
    <w:r>
      <w:fldChar w:fldCharType="begin"/>
    </w:r>
    <w:r w:rsidR="00191565">
      <w:instrText xml:space="preserve"> PAGE   \* MERGEFORMAT </w:instrText>
    </w:r>
    <w:r>
      <w:fldChar w:fldCharType="separate"/>
    </w:r>
    <w:r w:rsidR="00191565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C6" w:rsidRDefault="002C6AC6">
      <w:r>
        <w:separator/>
      </w:r>
    </w:p>
  </w:footnote>
  <w:footnote w:type="continuationSeparator" w:id="0">
    <w:p w:rsidR="002C6AC6" w:rsidRDefault="002C6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76726">
            <w:fldChar w:fldCharType="begin"/>
          </w:r>
          <w:r w:rsidR="00C0382E">
            <w:instrText>HYPERLINK "http://www.fpn.bg.ac.rs"</w:instrText>
          </w:r>
          <w:r w:rsidR="0037672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7672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1565"/>
    <w:rsid w:val="00192A59"/>
    <w:rsid w:val="001A1057"/>
    <w:rsid w:val="001B0BBE"/>
    <w:rsid w:val="001B3C59"/>
    <w:rsid w:val="001B645F"/>
    <w:rsid w:val="001C0316"/>
    <w:rsid w:val="001C3BD0"/>
    <w:rsid w:val="001E0F68"/>
    <w:rsid w:val="001F6423"/>
    <w:rsid w:val="001F725E"/>
    <w:rsid w:val="002130F4"/>
    <w:rsid w:val="00213A5E"/>
    <w:rsid w:val="00233CA0"/>
    <w:rsid w:val="00257855"/>
    <w:rsid w:val="00266FAB"/>
    <w:rsid w:val="002A0163"/>
    <w:rsid w:val="002C6AC6"/>
    <w:rsid w:val="00323A30"/>
    <w:rsid w:val="00362C0C"/>
    <w:rsid w:val="00374E3F"/>
    <w:rsid w:val="00376726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510E26"/>
    <w:rsid w:val="00523723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B5A82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D7309-218F-4C54-90AE-8A7652E5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2</Pages>
  <Words>271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2024-10-04T07:56:00Z</cp:lastPrinted>
  <dcterms:created xsi:type="dcterms:W3CDTF">2024-10-03T21:46:00Z</dcterms:created>
  <dcterms:modified xsi:type="dcterms:W3CDTF">2024-10-04T07:56:00Z</dcterms:modified>
</cp:coreProperties>
</file>