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79" w:rsidRDefault="00115979">
      <w:pPr>
        <w:spacing w:before="10" w:line="200" w:lineRule="exact"/>
      </w:pPr>
    </w:p>
    <w:p w:rsidR="00115979" w:rsidRDefault="00C64243">
      <w:pPr>
        <w:spacing w:before="24"/>
        <w:ind w:left="10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Факултет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политичких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наука</w:t>
      </w:r>
      <w:proofErr w:type="spellEnd"/>
    </w:p>
    <w:p w:rsidR="00115979" w:rsidRDefault="00C64243">
      <w:pPr>
        <w:spacing w:line="320" w:lineRule="exact"/>
        <w:ind w:left="10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Предмет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Политички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систем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Европске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уније</w:t>
      </w:r>
      <w:proofErr w:type="spellEnd"/>
    </w:p>
    <w:p w:rsidR="00115979" w:rsidRDefault="00C64243">
      <w:pPr>
        <w:spacing w:line="320" w:lineRule="exact"/>
        <w:ind w:left="100"/>
        <w:rPr>
          <w:sz w:val="28"/>
          <w:szCs w:val="28"/>
        </w:rPr>
      </w:pPr>
      <w:r>
        <w:rPr>
          <w:b/>
          <w:sz w:val="28"/>
          <w:szCs w:val="28"/>
        </w:rPr>
        <w:t>III</w:t>
      </w:r>
      <w:r>
        <w:rPr>
          <w:b/>
          <w:sz w:val="28"/>
          <w:szCs w:val="28"/>
          <w:lang w:val="sr-Cyrl-RS"/>
        </w:rPr>
        <w:t xml:space="preserve"> и </w:t>
      </w:r>
      <w:r>
        <w:rPr>
          <w:b/>
          <w:sz w:val="28"/>
          <w:szCs w:val="28"/>
          <w:lang w:val="sr-Latn-RS"/>
        </w:rPr>
        <w:t>IV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година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студија</w:t>
      </w:r>
      <w:proofErr w:type="spellEnd"/>
    </w:p>
    <w:p w:rsidR="00115979" w:rsidRDefault="00C64243">
      <w:pPr>
        <w:spacing w:line="320" w:lineRule="exact"/>
        <w:ind w:left="10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Смерови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Међународни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Политиколошки</w:t>
      </w:r>
      <w:proofErr w:type="spellEnd"/>
      <w:r>
        <w:rPr>
          <w:b/>
          <w:sz w:val="28"/>
          <w:szCs w:val="28"/>
        </w:rPr>
        <w:t>,</w:t>
      </w:r>
    </w:p>
    <w:p w:rsidR="00115979" w:rsidRDefault="00C64243">
      <w:pPr>
        <w:spacing w:before="2"/>
        <w:ind w:left="10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Новинарски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Социјални</w:t>
      </w:r>
      <w:proofErr w:type="spellEnd"/>
    </w:p>
    <w:p w:rsidR="00115979" w:rsidRDefault="00115979">
      <w:pPr>
        <w:spacing w:line="200" w:lineRule="exact"/>
      </w:pPr>
    </w:p>
    <w:p w:rsidR="00115979" w:rsidRDefault="00115979">
      <w:pPr>
        <w:spacing w:line="200" w:lineRule="exact"/>
      </w:pPr>
    </w:p>
    <w:p w:rsidR="00115979" w:rsidRDefault="00115979">
      <w:pPr>
        <w:spacing w:before="18" w:line="220" w:lineRule="exact"/>
        <w:rPr>
          <w:sz w:val="22"/>
          <w:szCs w:val="22"/>
        </w:rPr>
      </w:pPr>
    </w:p>
    <w:p w:rsidR="00115979" w:rsidRDefault="00C64243">
      <w:pPr>
        <w:ind w:left="100"/>
        <w:rPr>
          <w:sz w:val="28"/>
          <w:szCs w:val="28"/>
        </w:rPr>
      </w:pPr>
      <w:r>
        <w:rPr>
          <w:sz w:val="28"/>
          <w:szCs w:val="28"/>
          <w:u w:val="single" w:color="000000"/>
        </w:rPr>
        <w:t xml:space="preserve"> </w:t>
      </w:r>
      <w:proofErr w:type="spellStart"/>
      <w:proofErr w:type="gramStart"/>
      <w:r>
        <w:rPr>
          <w:sz w:val="28"/>
          <w:szCs w:val="28"/>
          <w:u w:val="single" w:color="000000"/>
        </w:rPr>
        <w:t>Испитна</w:t>
      </w:r>
      <w:proofErr w:type="spellEnd"/>
      <w:r>
        <w:rPr>
          <w:sz w:val="28"/>
          <w:szCs w:val="28"/>
          <w:u w:val="single" w:color="000000"/>
        </w:rPr>
        <w:t xml:space="preserve">  </w:t>
      </w:r>
      <w:proofErr w:type="spellStart"/>
      <w:r>
        <w:rPr>
          <w:sz w:val="28"/>
          <w:szCs w:val="28"/>
          <w:u w:val="single" w:color="000000"/>
        </w:rPr>
        <w:t>питања</w:t>
      </w:r>
      <w:proofErr w:type="spellEnd"/>
      <w:proofErr w:type="gramEnd"/>
      <w:r>
        <w:rPr>
          <w:sz w:val="28"/>
          <w:szCs w:val="28"/>
          <w:u w:val="single" w:color="000000"/>
        </w:rPr>
        <w:t xml:space="preserve"> </w:t>
      </w:r>
    </w:p>
    <w:p w:rsidR="00115979" w:rsidRPr="00C64243" w:rsidRDefault="00C64243">
      <w:pPr>
        <w:spacing w:before="7" w:line="300" w:lineRule="exact"/>
        <w:ind w:left="100"/>
        <w:rPr>
          <w:sz w:val="28"/>
          <w:szCs w:val="28"/>
          <w:lang w:val="sr-Cyrl-RS"/>
        </w:rPr>
      </w:pPr>
      <w:r>
        <w:rPr>
          <w:b/>
          <w:i/>
          <w:position w:val="-1"/>
          <w:sz w:val="28"/>
          <w:szCs w:val="28"/>
          <w:u w:val="thick" w:color="000000"/>
        </w:rPr>
        <w:t xml:space="preserve"> </w:t>
      </w:r>
      <w:proofErr w:type="spellStart"/>
      <w:r>
        <w:rPr>
          <w:b/>
          <w:i/>
          <w:position w:val="-1"/>
          <w:sz w:val="28"/>
          <w:szCs w:val="28"/>
          <w:u w:val="thick" w:color="000000"/>
        </w:rPr>
        <w:t>Од</w:t>
      </w:r>
      <w:proofErr w:type="spellEnd"/>
      <w:r>
        <w:rPr>
          <w:b/>
          <w:i/>
          <w:position w:val="-1"/>
          <w:sz w:val="28"/>
          <w:szCs w:val="28"/>
          <w:u w:val="thick" w:color="000000"/>
        </w:rPr>
        <w:t xml:space="preserve">  </w:t>
      </w:r>
      <w:proofErr w:type="spellStart"/>
      <w:r>
        <w:rPr>
          <w:b/>
          <w:i/>
          <w:position w:val="-1"/>
          <w:sz w:val="28"/>
          <w:szCs w:val="28"/>
          <w:u w:val="thick" w:color="000000"/>
        </w:rPr>
        <w:t>школске</w:t>
      </w:r>
      <w:proofErr w:type="spellEnd"/>
      <w:r>
        <w:rPr>
          <w:b/>
          <w:i/>
          <w:position w:val="-1"/>
          <w:sz w:val="28"/>
          <w:szCs w:val="28"/>
          <w:u w:val="thick" w:color="000000"/>
        </w:rPr>
        <w:t xml:space="preserve">  20</w:t>
      </w:r>
      <w:r>
        <w:rPr>
          <w:b/>
          <w:i/>
          <w:position w:val="-1"/>
          <w:sz w:val="28"/>
          <w:szCs w:val="28"/>
          <w:u w:val="thick" w:color="000000"/>
          <w:lang w:val="sr-Cyrl-RS"/>
        </w:rPr>
        <w:t>18</w:t>
      </w:r>
      <w:r>
        <w:rPr>
          <w:b/>
          <w:i/>
          <w:position w:val="-1"/>
          <w:sz w:val="28"/>
          <w:szCs w:val="28"/>
          <w:u w:val="thick" w:color="000000"/>
        </w:rPr>
        <w:t>/201</w:t>
      </w:r>
      <w:r>
        <w:rPr>
          <w:b/>
          <w:i/>
          <w:position w:val="-1"/>
          <w:sz w:val="28"/>
          <w:szCs w:val="28"/>
          <w:u w:val="thick" w:color="000000"/>
          <w:lang w:val="sr-Cyrl-RS"/>
        </w:rPr>
        <w:t>9</w:t>
      </w:r>
    </w:p>
    <w:p w:rsidR="00115979" w:rsidRDefault="00115979">
      <w:pPr>
        <w:spacing w:before="13" w:line="280" w:lineRule="exact"/>
        <w:rPr>
          <w:sz w:val="28"/>
          <w:szCs w:val="28"/>
        </w:rPr>
      </w:pPr>
    </w:p>
    <w:p w:rsidR="00115979" w:rsidRDefault="00C64243">
      <w:pPr>
        <w:spacing w:before="29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Обележја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политичког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уније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Европска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унија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политички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државног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типа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функционише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политички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z w:val="24"/>
          <w:szCs w:val="24"/>
        </w:rPr>
        <w:t>Које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главне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политика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proofErr w:type="spellStart"/>
      <w:r>
        <w:rPr>
          <w:sz w:val="24"/>
          <w:szCs w:val="24"/>
        </w:rPr>
        <w:t>Теорије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интеграција</w:t>
      </w:r>
      <w:proofErr w:type="spellEnd"/>
    </w:p>
    <w:p w:rsidR="00115979" w:rsidRDefault="00C64243">
      <w:pPr>
        <w:spacing w:line="260" w:lineRule="exact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proofErr w:type="spellStart"/>
      <w:r>
        <w:rPr>
          <w:sz w:val="24"/>
          <w:szCs w:val="24"/>
        </w:rPr>
        <w:t>Расподела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надлежности</w:t>
      </w:r>
      <w:proofErr w:type="spellEnd"/>
      <w:r>
        <w:rPr>
          <w:sz w:val="24"/>
          <w:szCs w:val="24"/>
        </w:rPr>
        <w:t xml:space="preserve"> у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7.   </w:t>
      </w:r>
      <w:proofErr w:type="spellStart"/>
      <w:r>
        <w:rPr>
          <w:sz w:val="24"/>
          <w:szCs w:val="24"/>
        </w:rPr>
        <w:t>Принципи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интеграција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8.   </w:t>
      </w:r>
      <w:proofErr w:type="spellStart"/>
      <w:r>
        <w:rPr>
          <w:sz w:val="24"/>
          <w:szCs w:val="24"/>
        </w:rPr>
        <w:t>Како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принципи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интеграција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proofErr w:type="spellStart"/>
      <w:r>
        <w:rPr>
          <w:sz w:val="24"/>
          <w:szCs w:val="24"/>
        </w:rPr>
        <w:t>Актери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интеграција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Институционални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</w:t>
      </w:r>
      <w:proofErr w:type="spellEnd"/>
      <w:r>
        <w:rPr>
          <w:sz w:val="24"/>
          <w:szCs w:val="24"/>
        </w:rPr>
        <w:t xml:space="preserve"> ЕУ – </w:t>
      </w:r>
      <w:proofErr w:type="spellStart"/>
      <w:r>
        <w:rPr>
          <w:sz w:val="24"/>
          <w:szCs w:val="24"/>
        </w:rPr>
        <w:t>општи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приступ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Институције</w:t>
      </w:r>
      <w:proofErr w:type="spellEnd"/>
      <w:r>
        <w:rPr>
          <w:sz w:val="24"/>
          <w:szCs w:val="24"/>
        </w:rPr>
        <w:t xml:space="preserve"> ЕУ </w:t>
      </w:r>
      <w:proofErr w:type="spellStart"/>
      <w:r>
        <w:rPr>
          <w:sz w:val="24"/>
          <w:szCs w:val="24"/>
        </w:rPr>
        <w:t>међудржавног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карактера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Институције</w:t>
      </w:r>
      <w:proofErr w:type="spellEnd"/>
      <w:r>
        <w:rPr>
          <w:sz w:val="24"/>
          <w:szCs w:val="24"/>
        </w:rPr>
        <w:t xml:space="preserve"> ЕУ </w:t>
      </w:r>
      <w:proofErr w:type="spellStart"/>
      <w:r>
        <w:rPr>
          <w:sz w:val="24"/>
          <w:szCs w:val="24"/>
        </w:rPr>
        <w:t>наднационалног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карактера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Теорије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извршној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власти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искуство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заједнице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уније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>
        <w:rPr>
          <w:sz w:val="24"/>
          <w:szCs w:val="24"/>
        </w:rPr>
        <w:t>Улога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савета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креирању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политика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spellStart"/>
      <w:r>
        <w:rPr>
          <w:sz w:val="24"/>
          <w:szCs w:val="24"/>
        </w:rPr>
        <w:t>Састав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надлежности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Савета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министара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spellStart"/>
      <w:r>
        <w:rPr>
          <w:sz w:val="24"/>
          <w:szCs w:val="24"/>
        </w:rPr>
        <w:t>Извршна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Савета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држава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чланица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spellStart"/>
      <w:r>
        <w:rPr>
          <w:sz w:val="24"/>
          <w:szCs w:val="24"/>
        </w:rPr>
        <w:t>Национална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координација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политика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proofErr w:type="spellStart"/>
      <w:r>
        <w:rPr>
          <w:sz w:val="24"/>
          <w:szCs w:val="24"/>
        </w:rPr>
        <w:t>Састав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надлежности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комисије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spellStart"/>
      <w:r>
        <w:rPr>
          <w:sz w:val="24"/>
          <w:szCs w:val="24"/>
        </w:rPr>
        <w:t>Начин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комисије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колегијум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кабинет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proofErr w:type="spellStart"/>
      <w:r>
        <w:rPr>
          <w:sz w:val="24"/>
          <w:szCs w:val="24"/>
        </w:rPr>
        <w:t>Бирократија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службенички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proofErr w:type="spellStart"/>
      <w:r>
        <w:rPr>
          <w:sz w:val="24"/>
          <w:szCs w:val="24"/>
        </w:rPr>
        <w:t>Регулаторна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тела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извршној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власти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proofErr w:type="spellStart"/>
      <w:r>
        <w:rPr>
          <w:sz w:val="24"/>
          <w:szCs w:val="24"/>
        </w:rPr>
        <w:t>Извршна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комитологије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врсте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комитета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proofErr w:type="spellStart"/>
      <w:r>
        <w:rPr>
          <w:sz w:val="24"/>
          <w:szCs w:val="24"/>
        </w:rPr>
        <w:t>Демократска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извршне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власти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политичка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одговорност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spellStart"/>
      <w:r>
        <w:rPr>
          <w:sz w:val="24"/>
          <w:szCs w:val="24"/>
        </w:rPr>
        <w:t>Демократска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извршне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власти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административна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одговорност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proofErr w:type="spellStart"/>
      <w:r>
        <w:rPr>
          <w:sz w:val="24"/>
          <w:szCs w:val="24"/>
        </w:rPr>
        <w:t>Зашто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државе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чланице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Савет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делегирају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извршну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Комисији</w:t>
      </w:r>
      <w:proofErr w:type="spellEnd"/>
    </w:p>
    <w:p w:rsidR="00115979" w:rsidRDefault="00C64243">
      <w:pPr>
        <w:ind w:left="782" w:right="4592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потражња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извршном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влашћу</w:t>
      </w:r>
      <w:proofErr w:type="spellEnd"/>
      <w:r>
        <w:rPr>
          <w:sz w:val="24"/>
          <w:szCs w:val="24"/>
        </w:rPr>
        <w:t>)</w:t>
      </w:r>
    </w:p>
    <w:p w:rsidR="00115979" w:rsidRDefault="00C64243">
      <w:pPr>
        <w:ind w:left="820" w:right="729" w:hanging="360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proofErr w:type="spellStart"/>
      <w:r>
        <w:rPr>
          <w:sz w:val="24"/>
          <w:szCs w:val="24"/>
        </w:rPr>
        <w:t>Преференције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обављању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извршне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власти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понуда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извршне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власти</w:t>
      </w:r>
      <w:proofErr w:type="spellEnd"/>
      <w:r>
        <w:rPr>
          <w:sz w:val="24"/>
          <w:szCs w:val="24"/>
        </w:rPr>
        <w:t>)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proofErr w:type="spellStart"/>
      <w:r>
        <w:rPr>
          <w:sz w:val="24"/>
          <w:szCs w:val="24"/>
        </w:rPr>
        <w:t>Развој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законодавног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система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proofErr w:type="spellStart"/>
      <w:r>
        <w:rPr>
          <w:sz w:val="24"/>
          <w:szCs w:val="24"/>
        </w:rPr>
        <w:t>Учесници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законодавном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поступку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proofErr w:type="spellStart"/>
      <w:r>
        <w:rPr>
          <w:sz w:val="24"/>
          <w:szCs w:val="24"/>
        </w:rPr>
        <w:t>Законска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иницијатива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proofErr w:type="spellStart"/>
      <w:r>
        <w:rPr>
          <w:sz w:val="24"/>
          <w:szCs w:val="24"/>
        </w:rPr>
        <w:t>Законодавна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Савета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министара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одређивање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приоритета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proofErr w:type="spellStart"/>
      <w:r>
        <w:rPr>
          <w:sz w:val="24"/>
          <w:szCs w:val="24"/>
        </w:rPr>
        <w:t>Гласање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коалициона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Савету</w:t>
      </w:r>
      <w:proofErr w:type="spellEnd"/>
    </w:p>
    <w:p w:rsidR="00115979" w:rsidRDefault="00C64243">
      <w:pPr>
        <w:ind w:left="460"/>
        <w:rPr>
          <w:sz w:val="24"/>
          <w:szCs w:val="24"/>
        </w:rPr>
        <w:sectPr w:rsidR="00115979">
          <w:pgSz w:w="12240" w:h="15840"/>
          <w:pgMar w:top="1480" w:right="1720" w:bottom="280" w:left="1700" w:header="720" w:footer="720" w:gutter="0"/>
          <w:cols w:space="720"/>
        </w:sectPr>
      </w:pPr>
      <w:r>
        <w:rPr>
          <w:sz w:val="24"/>
          <w:szCs w:val="24"/>
        </w:rPr>
        <w:t xml:space="preserve">32. </w:t>
      </w:r>
      <w:proofErr w:type="spellStart"/>
      <w:r>
        <w:rPr>
          <w:sz w:val="24"/>
          <w:szCs w:val="24"/>
        </w:rPr>
        <w:t>Улога</w:t>
      </w:r>
      <w:proofErr w:type="spellEnd"/>
      <w:r>
        <w:rPr>
          <w:sz w:val="24"/>
          <w:szCs w:val="24"/>
        </w:rPr>
        <w:t xml:space="preserve"> КОРЕПЕРА у </w:t>
      </w:r>
      <w:proofErr w:type="spellStart"/>
      <w:r>
        <w:rPr>
          <w:sz w:val="24"/>
          <w:szCs w:val="24"/>
        </w:rPr>
        <w:t>законодавном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процесу</w:t>
      </w:r>
      <w:proofErr w:type="spellEnd"/>
    </w:p>
    <w:p w:rsidR="00115979" w:rsidRDefault="00C64243">
      <w:pPr>
        <w:spacing w:before="72"/>
        <w:ind w:left="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33. </w:t>
      </w:r>
      <w:proofErr w:type="spellStart"/>
      <w:r>
        <w:rPr>
          <w:sz w:val="24"/>
          <w:szCs w:val="24"/>
        </w:rPr>
        <w:t>Законодавна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парламента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proofErr w:type="spellStart"/>
      <w:r>
        <w:rPr>
          <w:sz w:val="24"/>
          <w:szCs w:val="24"/>
        </w:rPr>
        <w:t>Структура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парламента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руководства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партије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одбори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proofErr w:type="spellStart"/>
      <w:r>
        <w:rPr>
          <w:sz w:val="24"/>
          <w:szCs w:val="24"/>
        </w:rPr>
        <w:t>Односи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Савета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Европског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парламента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законодавном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поступку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proofErr w:type="spellStart"/>
      <w:r>
        <w:rPr>
          <w:sz w:val="24"/>
          <w:szCs w:val="24"/>
        </w:rPr>
        <w:t>Процедура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консултације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саветовања</w:t>
      </w:r>
      <w:proofErr w:type="spellEnd"/>
      <w:r>
        <w:rPr>
          <w:sz w:val="24"/>
          <w:szCs w:val="24"/>
        </w:rPr>
        <w:t xml:space="preserve">) у </w:t>
      </w:r>
      <w:proofErr w:type="spellStart"/>
      <w:r>
        <w:rPr>
          <w:sz w:val="24"/>
          <w:szCs w:val="24"/>
        </w:rPr>
        <w:t>законодавном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поступку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proofErr w:type="spellStart"/>
      <w:r>
        <w:rPr>
          <w:sz w:val="24"/>
          <w:szCs w:val="24"/>
        </w:rPr>
        <w:t>Процедура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сарадње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законодавном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поступку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proofErr w:type="spellStart"/>
      <w:r>
        <w:rPr>
          <w:sz w:val="24"/>
          <w:szCs w:val="24"/>
        </w:rPr>
        <w:t>Процедура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саодлучивања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законодавном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поступку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proofErr w:type="spellStart"/>
      <w:r>
        <w:rPr>
          <w:sz w:val="24"/>
          <w:szCs w:val="24"/>
        </w:rPr>
        <w:t>Јачање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улоге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парламента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законодавном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поступку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proofErr w:type="spellStart"/>
      <w:r>
        <w:rPr>
          <w:sz w:val="24"/>
          <w:szCs w:val="24"/>
        </w:rPr>
        <w:t>Промене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законодавној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процедури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Лисабона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proofErr w:type="spellStart"/>
      <w:r>
        <w:rPr>
          <w:sz w:val="24"/>
          <w:szCs w:val="24"/>
        </w:rPr>
        <w:t>Улога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националних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парламената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законодавној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процедури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proofErr w:type="spellStart"/>
      <w:r>
        <w:rPr>
          <w:sz w:val="24"/>
          <w:szCs w:val="24"/>
        </w:rPr>
        <w:t>Право</w:t>
      </w:r>
      <w:proofErr w:type="spellEnd"/>
      <w:r>
        <w:rPr>
          <w:sz w:val="24"/>
          <w:szCs w:val="24"/>
        </w:rPr>
        <w:t xml:space="preserve"> ЕУ – </w:t>
      </w:r>
      <w:proofErr w:type="spellStart"/>
      <w:r>
        <w:rPr>
          <w:sz w:val="24"/>
          <w:szCs w:val="24"/>
        </w:rPr>
        <w:t>примарни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секундарни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акти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proofErr w:type="spellStart"/>
      <w:r>
        <w:rPr>
          <w:sz w:val="24"/>
          <w:szCs w:val="24"/>
        </w:rPr>
        <w:t>Састав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функционисање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правде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proofErr w:type="spellStart"/>
      <w:r>
        <w:rPr>
          <w:sz w:val="24"/>
          <w:szCs w:val="24"/>
        </w:rPr>
        <w:t>Надлежности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правде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proofErr w:type="spellStart"/>
      <w:r>
        <w:rPr>
          <w:sz w:val="24"/>
          <w:szCs w:val="24"/>
        </w:rPr>
        <w:t>Принцип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дејства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комунитарног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proofErr w:type="spellStart"/>
      <w:r>
        <w:rPr>
          <w:sz w:val="24"/>
          <w:szCs w:val="24"/>
        </w:rPr>
        <w:t>Принцип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надређености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комунитарног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proofErr w:type="spellStart"/>
      <w:r>
        <w:rPr>
          <w:sz w:val="24"/>
          <w:szCs w:val="24"/>
        </w:rPr>
        <w:t>Европски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правде</w:t>
      </w:r>
      <w:proofErr w:type="spellEnd"/>
      <w:r>
        <w:rPr>
          <w:sz w:val="24"/>
          <w:szCs w:val="24"/>
        </w:rPr>
        <w:t xml:space="preserve"> и „</w:t>
      </w:r>
      <w:proofErr w:type="spellStart"/>
      <w:r>
        <w:rPr>
          <w:sz w:val="24"/>
          <w:szCs w:val="24"/>
        </w:rPr>
        <w:t>спољна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сувереност</w:t>
      </w:r>
      <w:proofErr w:type="spellEnd"/>
      <w:r>
        <w:rPr>
          <w:sz w:val="24"/>
          <w:szCs w:val="24"/>
        </w:rPr>
        <w:t>“ ЕУ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proofErr w:type="spellStart"/>
      <w:r>
        <w:rPr>
          <w:sz w:val="24"/>
          <w:szCs w:val="24"/>
        </w:rPr>
        <w:t>Судски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надзор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надлежности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proofErr w:type="spellStart"/>
      <w:r>
        <w:rPr>
          <w:sz w:val="24"/>
          <w:szCs w:val="24"/>
        </w:rPr>
        <w:t>Институт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мишљења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правде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претходном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питању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proofErr w:type="spellStart"/>
      <w:r>
        <w:rPr>
          <w:sz w:val="24"/>
          <w:szCs w:val="24"/>
        </w:rPr>
        <w:t>Уношење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комунитарног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домаћи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proofErr w:type="spellStart"/>
      <w:r>
        <w:rPr>
          <w:sz w:val="24"/>
          <w:szCs w:val="24"/>
        </w:rPr>
        <w:t>Разлози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доприноса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комунитарног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интеграцијама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proofErr w:type="spellStart"/>
      <w:r>
        <w:rPr>
          <w:sz w:val="24"/>
          <w:szCs w:val="24"/>
        </w:rPr>
        <w:t>Допринос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уставном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карактеру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уније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53. </w:t>
      </w:r>
      <w:proofErr w:type="spellStart"/>
      <w:r>
        <w:rPr>
          <w:sz w:val="24"/>
          <w:szCs w:val="24"/>
        </w:rPr>
        <w:t>Теорије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друштвеним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политике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proofErr w:type="spellStart"/>
      <w:r>
        <w:rPr>
          <w:sz w:val="24"/>
          <w:szCs w:val="24"/>
        </w:rPr>
        <w:t>Јавно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мњење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чинилац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политичког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процеса</w:t>
      </w:r>
      <w:proofErr w:type="spellEnd"/>
      <w:r>
        <w:rPr>
          <w:sz w:val="24"/>
          <w:szCs w:val="24"/>
        </w:rPr>
        <w:t xml:space="preserve"> у ЕУ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proofErr w:type="spellStart"/>
      <w:r>
        <w:rPr>
          <w:sz w:val="24"/>
          <w:szCs w:val="24"/>
        </w:rPr>
        <w:t>Врсте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подршке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интеграцијама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proofErr w:type="spellStart"/>
      <w:r>
        <w:rPr>
          <w:sz w:val="24"/>
          <w:szCs w:val="24"/>
        </w:rPr>
        <w:t>Врста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националних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подела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јавном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мњењу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proofErr w:type="spellStart"/>
      <w:r>
        <w:rPr>
          <w:sz w:val="24"/>
          <w:szCs w:val="24"/>
        </w:rPr>
        <w:t>Транснационалне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поделе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јавном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мњењу</w:t>
      </w:r>
      <w:proofErr w:type="spellEnd"/>
      <w:r>
        <w:rPr>
          <w:sz w:val="24"/>
          <w:szCs w:val="24"/>
        </w:rPr>
        <w:t xml:space="preserve"> ЕУ: </w:t>
      </w:r>
      <w:proofErr w:type="spellStart"/>
      <w:r>
        <w:rPr>
          <w:sz w:val="24"/>
          <w:szCs w:val="24"/>
        </w:rPr>
        <w:t>социјално-класни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интереси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58. </w:t>
      </w:r>
      <w:proofErr w:type="spellStart"/>
      <w:r>
        <w:rPr>
          <w:sz w:val="24"/>
          <w:szCs w:val="24"/>
        </w:rPr>
        <w:t>Генерацијске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образовне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полне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верске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поделе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јавном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мњењу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59. </w:t>
      </w:r>
      <w:proofErr w:type="spellStart"/>
      <w:r>
        <w:rPr>
          <w:sz w:val="24"/>
          <w:szCs w:val="24"/>
        </w:rPr>
        <w:t>Европе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левице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деснице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60. </w:t>
      </w:r>
      <w:proofErr w:type="spellStart"/>
      <w:r>
        <w:rPr>
          <w:sz w:val="24"/>
          <w:szCs w:val="24"/>
        </w:rPr>
        <w:t>Изборно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повезивање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чинилац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мњења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61. ЕУ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плуралистичко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друштво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62. </w:t>
      </w:r>
      <w:proofErr w:type="spellStart"/>
      <w:r>
        <w:rPr>
          <w:sz w:val="24"/>
          <w:szCs w:val="24"/>
        </w:rPr>
        <w:t>Демократија</w:t>
      </w:r>
      <w:proofErr w:type="spellEnd"/>
      <w:r>
        <w:rPr>
          <w:sz w:val="24"/>
          <w:szCs w:val="24"/>
        </w:rPr>
        <w:t xml:space="preserve"> у ЕУ: </w:t>
      </w:r>
      <w:proofErr w:type="spellStart"/>
      <w:r>
        <w:rPr>
          <w:sz w:val="24"/>
          <w:szCs w:val="24"/>
        </w:rPr>
        <w:t>избор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политичких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странака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лидера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јавних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политика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63. </w:t>
      </w:r>
      <w:proofErr w:type="spellStart"/>
      <w:r>
        <w:rPr>
          <w:sz w:val="24"/>
          <w:szCs w:val="24"/>
        </w:rPr>
        <w:t>Питање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демократског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дефицита</w:t>
      </w:r>
      <w:proofErr w:type="spellEnd"/>
      <w:r>
        <w:rPr>
          <w:sz w:val="24"/>
          <w:szCs w:val="24"/>
        </w:rPr>
        <w:t>“ у ЕУ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64. </w:t>
      </w:r>
      <w:proofErr w:type="spellStart"/>
      <w:r>
        <w:rPr>
          <w:sz w:val="24"/>
          <w:szCs w:val="24"/>
        </w:rPr>
        <w:t>Националне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странке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Европа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65. </w:t>
      </w:r>
      <w:proofErr w:type="spellStart"/>
      <w:r>
        <w:rPr>
          <w:sz w:val="24"/>
          <w:szCs w:val="24"/>
        </w:rPr>
        <w:t>Политичке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странке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нивоу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Европе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66. </w:t>
      </w:r>
      <w:proofErr w:type="spellStart"/>
      <w:r>
        <w:rPr>
          <w:sz w:val="24"/>
          <w:szCs w:val="24"/>
        </w:rPr>
        <w:t>Избори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парламент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национално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такмичење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67. </w:t>
      </w:r>
      <w:proofErr w:type="spellStart"/>
      <w:r>
        <w:rPr>
          <w:sz w:val="24"/>
          <w:szCs w:val="24"/>
        </w:rPr>
        <w:t>Референдуми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око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европског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питања</w:t>
      </w:r>
      <w:proofErr w:type="spellEnd"/>
      <w:r>
        <w:rPr>
          <w:sz w:val="24"/>
          <w:szCs w:val="24"/>
        </w:rPr>
        <w:t>“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68. </w:t>
      </w:r>
      <w:proofErr w:type="spellStart"/>
      <w:r>
        <w:rPr>
          <w:sz w:val="24"/>
          <w:szCs w:val="24"/>
        </w:rPr>
        <w:t>Правци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предлози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јачања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демократије</w:t>
      </w:r>
      <w:proofErr w:type="spellEnd"/>
      <w:r>
        <w:rPr>
          <w:sz w:val="24"/>
          <w:szCs w:val="24"/>
        </w:rPr>
        <w:t xml:space="preserve"> у ЕУ: </w:t>
      </w:r>
      <w:proofErr w:type="spellStart"/>
      <w:r>
        <w:rPr>
          <w:sz w:val="24"/>
          <w:szCs w:val="24"/>
        </w:rPr>
        <w:t>утицајнији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Парламент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69. </w:t>
      </w:r>
      <w:proofErr w:type="spellStart"/>
      <w:r>
        <w:rPr>
          <w:sz w:val="24"/>
          <w:szCs w:val="24"/>
        </w:rPr>
        <w:t>Избор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комисије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парламентарни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председнички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модел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70. </w:t>
      </w:r>
      <w:proofErr w:type="spellStart"/>
      <w:r>
        <w:rPr>
          <w:sz w:val="24"/>
          <w:szCs w:val="24"/>
        </w:rPr>
        <w:t>Теорије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интересним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групама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71. </w:t>
      </w:r>
      <w:proofErr w:type="spellStart"/>
      <w:r>
        <w:rPr>
          <w:sz w:val="24"/>
          <w:szCs w:val="24"/>
        </w:rPr>
        <w:t>Интересне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групе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процесу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креирања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политика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72. </w:t>
      </w:r>
      <w:proofErr w:type="spellStart"/>
      <w:r>
        <w:rPr>
          <w:sz w:val="24"/>
          <w:szCs w:val="24"/>
        </w:rPr>
        <w:t>Организација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приватних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пословних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интереса</w:t>
      </w:r>
      <w:proofErr w:type="spellEnd"/>
      <w:r>
        <w:rPr>
          <w:sz w:val="24"/>
          <w:szCs w:val="24"/>
        </w:rPr>
        <w:t xml:space="preserve"> у ЕУ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73. </w:t>
      </w:r>
      <w:proofErr w:type="spellStart"/>
      <w:r>
        <w:rPr>
          <w:sz w:val="24"/>
          <w:szCs w:val="24"/>
        </w:rPr>
        <w:t>Организација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јавних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интереса</w:t>
      </w:r>
      <w:proofErr w:type="spellEnd"/>
      <w:r>
        <w:rPr>
          <w:sz w:val="24"/>
          <w:szCs w:val="24"/>
        </w:rPr>
        <w:t xml:space="preserve"> у ЕУ</w:t>
      </w:r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74. </w:t>
      </w:r>
      <w:proofErr w:type="spellStart"/>
      <w:r>
        <w:rPr>
          <w:sz w:val="24"/>
          <w:szCs w:val="24"/>
        </w:rPr>
        <w:t>Територијални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интереси</w:t>
      </w:r>
      <w:proofErr w:type="spellEnd"/>
      <w:r>
        <w:rPr>
          <w:sz w:val="24"/>
          <w:szCs w:val="24"/>
        </w:rPr>
        <w:t xml:space="preserve"> у ЕУ: </w:t>
      </w:r>
      <w:proofErr w:type="spellStart"/>
      <w:r>
        <w:rPr>
          <w:sz w:val="24"/>
          <w:szCs w:val="24"/>
        </w:rPr>
        <w:t>европски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регионализам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75. </w:t>
      </w:r>
      <w:proofErr w:type="spellStart"/>
      <w:r>
        <w:rPr>
          <w:sz w:val="24"/>
          <w:szCs w:val="24"/>
        </w:rPr>
        <w:t>Настанак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улога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Комитета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региона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76. </w:t>
      </w:r>
      <w:proofErr w:type="spellStart"/>
      <w:r>
        <w:rPr>
          <w:sz w:val="24"/>
          <w:szCs w:val="24"/>
        </w:rPr>
        <w:t>Национални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интереси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консоцијативни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картели</w:t>
      </w:r>
      <w:proofErr w:type="spellEnd"/>
    </w:p>
    <w:p w:rsidR="00115979" w:rsidRDefault="00C64243">
      <w:pPr>
        <w:ind w:left="440"/>
        <w:rPr>
          <w:sz w:val="24"/>
          <w:szCs w:val="24"/>
        </w:rPr>
      </w:pPr>
      <w:r>
        <w:rPr>
          <w:sz w:val="24"/>
          <w:szCs w:val="24"/>
        </w:rPr>
        <w:t xml:space="preserve">77. </w:t>
      </w:r>
      <w:proofErr w:type="spellStart"/>
      <w:r>
        <w:rPr>
          <w:sz w:val="24"/>
          <w:szCs w:val="24"/>
        </w:rPr>
        <w:t>Интересне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групе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процесима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глобализације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европеизације</w:t>
      </w:r>
      <w:proofErr w:type="spellEnd"/>
    </w:p>
    <w:p w:rsidR="00115979" w:rsidRDefault="00C64243">
      <w:pPr>
        <w:ind w:left="440"/>
        <w:rPr>
          <w:sz w:val="24"/>
          <w:szCs w:val="24"/>
        </w:rPr>
        <w:sectPr w:rsidR="00115979">
          <w:pgSz w:w="12240" w:h="15840"/>
          <w:pgMar w:top="1360" w:right="1720" w:bottom="280" w:left="1720" w:header="720" w:footer="720" w:gutter="0"/>
          <w:cols w:space="720"/>
        </w:sectPr>
      </w:pPr>
      <w:r>
        <w:rPr>
          <w:sz w:val="24"/>
          <w:szCs w:val="24"/>
        </w:rPr>
        <w:t xml:space="preserve">78. </w:t>
      </w:r>
      <w:proofErr w:type="spellStart"/>
      <w:r>
        <w:rPr>
          <w:sz w:val="24"/>
          <w:szCs w:val="24"/>
        </w:rPr>
        <w:t>Интересне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групе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процесу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законодавног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договарања</w:t>
      </w:r>
      <w:proofErr w:type="spellEnd"/>
    </w:p>
    <w:p w:rsidR="00115979" w:rsidRDefault="00C64243">
      <w:pPr>
        <w:spacing w:before="72"/>
        <w:ind w:left="4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79. </w:t>
      </w:r>
      <w:proofErr w:type="spellStart"/>
      <w:r>
        <w:rPr>
          <w:sz w:val="24"/>
          <w:szCs w:val="24"/>
        </w:rPr>
        <w:t>Развој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економске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монета</w:t>
      </w:r>
      <w:bookmarkStart w:id="0" w:name="_GoBack"/>
      <w:bookmarkEnd w:id="0"/>
      <w:r>
        <w:rPr>
          <w:sz w:val="24"/>
          <w:szCs w:val="24"/>
        </w:rPr>
        <w:t>рне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Европи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80. </w:t>
      </w:r>
      <w:proofErr w:type="spellStart"/>
      <w:r>
        <w:rPr>
          <w:sz w:val="24"/>
          <w:szCs w:val="24"/>
        </w:rPr>
        <w:t>Критеријуми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конвергенције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њихово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спровођење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81. </w:t>
      </w:r>
      <w:proofErr w:type="spellStart"/>
      <w:r>
        <w:rPr>
          <w:sz w:val="24"/>
          <w:szCs w:val="24"/>
        </w:rPr>
        <w:t>Институције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Економске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монетарне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уније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82. </w:t>
      </w:r>
      <w:proofErr w:type="spellStart"/>
      <w:r>
        <w:rPr>
          <w:sz w:val="24"/>
          <w:szCs w:val="24"/>
        </w:rPr>
        <w:t>Теорије</w:t>
      </w:r>
      <w:proofErr w:type="spell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грађанству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држави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83.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слободе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кретања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зони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слободе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безбедности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правде</w:t>
      </w:r>
      <w:proofErr w:type="spellEnd"/>
      <w:r>
        <w:rPr>
          <w:sz w:val="24"/>
          <w:szCs w:val="24"/>
        </w:rPr>
        <w:t>“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84. </w:t>
      </w:r>
      <w:proofErr w:type="spellStart"/>
      <w:r>
        <w:rPr>
          <w:sz w:val="24"/>
          <w:szCs w:val="24"/>
        </w:rPr>
        <w:t>Слобода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кретања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лица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улога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Споразума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Шенгена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85. </w:t>
      </w:r>
      <w:proofErr w:type="spellStart"/>
      <w:r>
        <w:rPr>
          <w:sz w:val="24"/>
          <w:szCs w:val="24"/>
        </w:rPr>
        <w:t>Грађанство</w:t>
      </w:r>
      <w:proofErr w:type="spellEnd"/>
      <w:r>
        <w:rPr>
          <w:sz w:val="24"/>
          <w:szCs w:val="24"/>
        </w:rPr>
        <w:t xml:space="preserve"> ЕУ (</w:t>
      </w: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слободе</w:t>
      </w:r>
      <w:proofErr w:type="spellEnd"/>
      <w:r>
        <w:rPr>
          <w:sz w:val="24"/>
          <w:szCs w:val="24"/>
        </w:rPr>
        <w:t>)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86. </w:t>
      </w:r>
      <w:proofErr w:type="spellStart"/>
      <w:r>
        <w:rPr>
          <w:sz w:val="24"/>
          <w:szCs w:val="24"/>
        </w:rPr>
        <w:t>Политика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имиграције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азила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87. </w:t>
      </w:r>
      <w:proofErr w:type="spellStart"/>
      <w:r>
        <w:rPr>
          <w:sz w:val="24"/>
          <w:szCs w:val="24"/>
        </w:rPr>
        <w:t>Полицијска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правосудна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сарадња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кривичним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стварима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88. </w:t>
      </w:r>
      <w:proofErr w:type="spellStart"/>
      <w:r>
        <w:rPr>
          <w:sz w:val="24"/>
          <w:szCs w:val="24"/>
        </w:rPr>
        <w:t>Еволуција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инструмената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вођења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Трећем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стубу</w:t>
      </w:r>
      <w:proofErr w:type="spellEnd"/>
    </w:p>
    <w:p w:rsidR="00115979" w:rsidRDefault="00C64243">
      <w:pPr>
        <w:ind w:left="820" w:right="426" w:hanging="360"/>
        <w:rPr>
          <w:sz w:val="24"/>
          <w:szCs w:val="24"/>
        </w:rPr>
      </w:pPr>
      <w:r>
        <w:rPr>
          <w:sz w:val="24"/>
          <w:szCs w:val="24"/>
        </w:rPr>
        <w:t xml:space="preserve">89. </w:t>
      </w:r>
      <w:proofErr w:type="spellStart"/>
      <w:r>
        <w:rPr>
          <w:sz w:val="24"/>
          <w:szCs w:val="24"/>
        </w:rPr>
        <w:t>Најважније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измене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уведене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Амстердама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слободе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безбедности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грађана</w:t>
      </w:r>
      <w:proofErr w:type="spellEnd"/>
    </w:p>
    <w:p w:rsidR="00115979" w:rsidRDefault="00C64243">
      <w:pPr>
        <w:ind w:left="820" w:right="63" w:hanging="360"/>
        <w:rPr>
          <w:sz w:val="24"/>
          <w:szCs w:val="24"/>
        </w:rPr>
      </w:pPr>
      <w:r>
        <w:rPr>
          <w:sz w:val="24"/>
          <w:szCs w:val="24"/>
        </w:rPr>
        <w:t xml:space="preserve">90. </w:t>
      </w:r>
      <w:proofErr w:type="spellStart"/>
      <w:r>
        <w:rPr>
          <w:sz w:val="24"/>
          <w:szCs w:val="24"/>
        </w:rPr>
        <w:t>Разлози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бржег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напредовања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сарадње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слободе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безбедности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грађана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половине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деведесетих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година</w:t>
      </w:r>
      <w:proofErr w:type="spellEnd"/>
      <w:r>
        <w:rPr>
          <w:sz w:val="24"/>
          <w:szCs w:val="24"/>
        </w:rPr>
        <w:t xml:space="preserve"> 20. </w:t>
      </w:r>
      <w:proofErr w:type="spellStart"/>
      <w:proofErr w:type="gramStart"/>
      <w:r>
        <w:rPr>
          <w:sz w:val="24"/>
          <w:szCs w:val="24"/>
        </w:rPr>
        <w:t>века</w:t>
      </w:r>
      <w:proofErr w:type="spellEnd"/>
      <w:proofErr w:type="gramEnd"/>
    </w:p>
    <w:p w:rsidR="00115979" w:rsidRDefault="00C64243">
      <w:pPr>
        <w:spacing w:line="260" w:lineRule="exact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91. </w:t>
      </w:r>
      <w:proofErr w:type="spellStart"/>
      <w:r>
        <w:rPr>
          <w:sz w:val="24"/>
          <w:szCs w:val="24"/>
        </w:rPr>
        <w:t>Теорије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међународних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односа</w:t>
      </w:r>
      <w:proofErr w:type="spellEnd"/>
      <w:r>
        <w:rPr>
          <w:sz w:val="24"/>
          <w:szCs w:val="24"/>
        </w:rPr>
        <w:t xml:space="preserve"> и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92. </w:t>
      </w:r>
      <w:proofErr w:type="spellStart"/>
      <w:r>
        <w:rPr>
          <w:sz w:val="24"/>
          <w:szCs w:val="24"/>
        </w:rPr>
        <w:t>Развој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сарадње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држава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чланица</w:t>
      </w:r>
      <w:proofErr w:type="spellEnd"/>
      <w:r>
        <w:rPr>
          <w:sz w:val="24"/>
          <w:szCs w:val="24"/>
        </w:rPr>
        <w:t xml:space="preserve"> ЕЗ у </w:t>
      </w:r>
      <w:proofErr w:type="spellStart"/>
      <w:r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политике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93. </w:t>
      </w:r>
      <w:proofErr w:type="spellStart"/>
      <w:r>
        <w:rPr>
          <w:sz w:val="24"/>
          <w:szCs w:val="24"/>
        </w:rPr>
        <w:t>Циљеви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Заједничке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спољне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безбедносне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политике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94. </w:t>
      </w:r>
      <w:proofErr w:type="spellStart"/>
      <w:r>
        <w:rPr>
          <w:sz w:val="24"/>
          <w:szCs w:val="24"/>
        </w:rPr>
        <w:t>Инструменти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Заједничке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спољне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безбедносне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политике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95. </w:t>
      </w:r>
      <w:proofErr w:type="spellStart"/>
      <w:r>
        <w:rPr>
          <w:sz w:val="24"/>
          <w:szCs w:val="24"/>
        </w:rPr>
        <w:t>Промене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стуба</w:t>
      </w:r>
      <w:proofErr w:type="spellEnd"/>
      <w:r>
        <w:rPr>
          <w:sz w:val="24"/>
          <w:szCs w:val="24"/>
        </w:rPr>
        <w:t xml:space="preserve"> ЕУ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Уговора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Аместердама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96. </w:t>
      </w:r>
      <w:proofErr w:type="spellStart"/>
      <w:r>
        <w:rPr>
          <w:sz w:val="24"/>
          <w:szCs w:val="24"/>
        </w:rPr>
        <w:t>Елементи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одбрамбене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политике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97. </w:t>
      </w:r>
      <w:proofErr w:type="spellStart"/>
      <w:r>
        <w:rPr>
          <w:sz w:val="24"/>
          <w:szCs w:val="24"/>
        </w:rPr>
        <w:t>Однос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између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циљева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способности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резултата</w:t>
      </w:r>
      <w:proofErr w:type="spellEnd"/>
      <w:r>
        <w:rPr>
          <w:sz w:val="24"/>
          <w:szCs w:val="24"/>
        </w:rPr>
        <w:t xml:space="preserve"> у ЗСБП ЕУ</w:t>
      </w:r>
    </w:p>
    <w:p w:rsidR="00115979" w:rsidRDefault="00C64243">
      <w:pPr>
        <w:ind w:left="820" w:right="663" w:hanging="360"/>
        <w:rPr>
          <w:sz w:val="24"/>
          <w:szCs w:val="24"/>
        </w:rPr>
      </w:pPr>
      <w:r>
        <w:rPr>
          <w:sz w:val="24"/>
          <w:szCs w:val="24"/>
        </w:rPr>
        <w:t xml:space="preserve">98. </w:t>
      </w:r>
      <w:proofErr w:type="spellStart"/>
      <w:r>
        <w:rPr>
          <w:sz w:val="24"/>
          <w:szCs w:val="24"/>
        </w:rPr>
        <w:t>Утицај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глобалне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економске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геополитичке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међузависности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спољну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политику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99. </w:t>
      </w:r>
      <w:proofErr w:type="spellStart"/>
      <w:r>
        <w:rPr>
          <w:sz w:val="24"/>
          <w:szCs w:val="24"/>
        </w:rPr>
        <w:t>Приоритет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националних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безбедносних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унутар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100. </w:t>
      </w:r>
      <w:proofErr w:type="spellStart"/>
      <w:r>
        <w:rPr>
          <w:sz w:val="24"/>
          <w:szCs w:val="24"/>
        </w:rPr>
        <w:t>Спољна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економска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политика</w:t>
      </w:r>
      <w:proofErr w:type="spellEnd"/>
      <w:r>
        <w:rPr>
          <w:sz w:val="24"/>
          <w:szCs w:val="24"/>
        </w:rPr>
        <w:t xml:space="preserve"> ЕЗ и </w:t>
      </w:r>
      <w:proofErr w:type="spellStart"/>
      <w:r>
        <w:rPr>
          <w:sz w:val="24"/>
          <w:szCs w:val="24"/>
        </w:rPr>
        <w:t>улога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мултинационалних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компанија</w:t>
      </w:r>
      <w:proofErr w:type="spellEnd"/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101. </w:t>
      </w:r>
      <w:proofErr w:type="spellStart"/>
      <w:r>
        <w:rPr>
          <w:sz w:val="24"/>
          <w:szCs w:val="24"/>
        </w:rPr>
        <w:t>Улога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спровођењу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укупне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политике</w:t>
      </w:r>
      <w:proofErr w:type="spellEnd"/>
      <w:r>
        <w:rPr>
          <w:sz w:val="24"/>
          <w:szCs w:val="24"/>
        </w:rPr>
        <w:t xml:space="preserve"> ЕУ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102. </w:t>
      </w:r>
      <w:proofErr w:type="spellStart"/>
      <w:r>
        <w:rPr>
          <w:sz w:val="24"/>
          <w:szCs w:val="24"/>
        </w:rPr>
        <w:t>Европска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унија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као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мека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супер-сила</w:t>
      </w:r>
      <w:proofErr w:type="spellEnd"/>
      <w:r>
        <w:rPr>
          <w:sz w:val="24"/>
          <w:szCs w:val="24"/>
        </w:rPr>
        <w:t>“</w:t>
      </w:r>
    </w:p>
    <w:p w:rsidR="00115979" w:rsidRDefault="00115979">
      <w:pPr>
        <w:spacing w:before="2" w:line="140" w:lineRule="exact"/>
        <w:rPr>
          <w:sz w:val="15"/>
          <w:szCs w:val="15"/>
        </w:rPr>
      </w:pPr>
    </w:p>
    <w:p w:rsidR="00115979" w:rsidRDefault="00115979">
      <w:pPr>
        <w:spacing w:line="200" w:lineRule="exact"/>
      </w:pPr>
    </w:p>
    <w:p w:rsidR="00115979" w:rsidRDefault="00115979">
      <w:pPr>
        <w:spacing w:line="200" w:lineRule="exact"/>
      </w:pPr>
    </w:p>
    <w:p w:rsidR="00115979" w:rsidRDefault="00C64243">
      <w:pPr>
        <w:ind w:left="62" w:right="2925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Литература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припрему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колоквијума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усменог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испита</w:t>
      </w:r>
      <w:proofErr w:type="spellEnd"/>
      <w:r>
        <w:rPr>
          <w:sz w:val="24"/>
          <w:szCs w:val="24"/>
        </w:rPr>
        <w:t>:</w:t>
      </w:r>
    </w:p>
    <w:p w:rsidR="00115979" w:rsidRDefault="00C64243">
      <w:pPr>
        <w:tabs>
          <w:tab w:val="left" w:pos="820"/>
        </w:tabs>
        <w:ind w:left="820" w:right="632" w:hanging="360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Сајмон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Хикс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Политички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систем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Европске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уније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Службени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гласник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Београд</w:t>
      </w:r>
      <w:proofErr w:type="spellEnd"/>
      <w:r>
        <w:rPr>
          <w:sz w:val="24"/>
          <w:szCs w:val="24"/>
        </w:rPr>
        <w:t xml:space="preserve">, 2007, </w:t>
      </w:r>
      <w:proofErr w:type="spellStart"/>
      <w:r>
        <w:rPr>
          <w:sz w:val="24"/>
          <w:szCs w:val="24"/>
        </w:rPr>
        <w:t>стр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23-223, 296-301, 309-316, 323-336, 336-348, 349-352, 360-376,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proofErr w:type="spellStart"/>
      <w:r>
        <w:rPr>
          <w:sz w:val="24"/>
          <w:szCs w:val="24"/>
        </w:rPr>
        <w:t>Слободан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Самарџић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Европска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унија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као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модел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наднационалне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заједнице</w:t>
      </w:r>
      <w:proofErr w:type="spellEnd"/>
      <w:r>
        <w:rPr>
          <w:sz w:val="24"/>
          <w:szCs w:val="24"/>
        </w:rPr>
        <w:t>,</w:t>
      </w:r>
    </w:p>
    <w:p w:rsidR="00115979" w:rsidRDefault="00C64243">
      <w:pPr>
        <w:ind w:left="782" w:right="227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Институт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студије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Београд</w:t>
      </w:r>
      <w:proofErr w:type="spellEnd"/>
      <w:r>
        <w:rPr>
          <w:sz w:val="24"/>
          <w:szCs w:val="24"/>
        </w:rPr>
        <w:t xml:space="preserve">, 1998, </w:t>
      </w:r>
      <w:proofErr w:type="spellStart"/>
      <w:r>
        <w:rPr>
          <w:sz w:val="24"/>
          <w:szCs w:val="24"/>
        </w:rPr>
        <w:t>стр</w:t>
      </w:r>
      <w:proofErr w:type="spellEnd"/>
      <w:r>
        <w:rPr>
          <w:sz w:val="24"/>
          <w:szCs w:val="24"/>
        </w:rPr>
        <w:t>, 26-43</w:t>
      </w:r>
    </w:p>
    <w:p w:rsidR="00115979" w:rsidRDefault="00C64243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proofErr w:type="spellStart"/>
      <w:r>
        <w:rPr>
          <w:sz w:val="24"/>
          <w:szCs w:val="24"/>
        </w:rPr>
        <w:t>Тања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Мишчевић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ур</w:t>
      </w:r>
      <w:proofErr w:type="spellEnd"/>
      <w:r>
        <w:rPr>
          <w:sz w:val="24"/>
          <w:szCs w:val="24"/>
        </w:rPr>
        <w:t xml:space="preserve">.), </w:t>
      </w:r>
      <w:proofErr w:type="spellStart"/>
      <w:r>
        <w:rPr>
          <w:i/>
          <w:sz w:val="24"/>
          <w:szCs w:val="24"/>
        </w:rPr>
        <w:t>Уговор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из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Лисабона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Службени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гласник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Београд</w:t>
      </w:r>
      <w:proofErr w:type="spellEnd"/>
      <w:r>
        <w:rPr>
          <w:sz w:val="24"/>
          <w:szCs w:val="24"/>
        </w:rPr>
        <w:t>,</w:t>
      </w:r>
    </w:p>
    <w:p w:rsidR="00115979" w:rsidRDefault="00C64243">
      <w:pPr>
        <w:ind w:left="820" w:right="231"/>
        <w:rPr>
          <w:sz w:val="24"/>
          <w:szCs w:val="24"/>
        </w:rPr>
      </w:pPr>
      <w:r>
        <w:rPr>
          <w:sz w:val="24"/>
          <w:szCs w:val="24"/>
        </w:rPr>
        <w:t xml:space="preserve">2010, </w:t>
      </w:r>
      <w:proofErr w:type="spellStart"/>
      <w:r>
        <w:rPr>
          <w:sz w:val="24"/>
          <w:szCs w:val="24"/>
        </w:rPr>
        <w:t>чланци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Весна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Кнежевић-Предић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Институционални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</w:t>
      </w:r>
      <w:proofErr w:type="spellEnd"/>
      <w:r>
        <w:rPr>
          <w:sz w:val="24"/>
          <w:szCs w:val="24"/>
        </w:rPr>
        <w:t xml:space="preserve"> ЕУ </w:t>
      </w:r>
      <w:proofErr w:type="spellStart"/>
      <w:r>
        <w:rPr>
          <w:sz w:val="24"/>
          <w:szCs w:val="24"/>
        </w:rPr>
        <w:t>пре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после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Лисабона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46-56; </w:t>
      </w:r>
      <w:proofErr w:type="spellStart"/>
      <w:r>
        <w:rPr>
          <w:sz w:val="24"/>
          <w:szCs w:val="24"/>
        </w:rPr>
        <w:t>Владимир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Међак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Промене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законодавној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процедури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области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бивше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заједнице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57-70</w:t>
      </w:r>
    </w:p>
    <w:sectPr w:rsidR="00115979"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9330B"/>
    <w:multiLevelType w:val="multilevel"/>
    <w:tmpl w:val="B0B0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115979"/>
    <w:rsid w:val="00115979"/>
    <w:rsid w:val="00AC52B1"/>
    <w:rsid w:val="00C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Milovanović</dc:creator>
  <cp:lastModifiedBy>Ivan Milovanović</cp:lastModifiedBy>
  <cp:revision>2</cp:revision>
  <dcterms:created xsi:type="dcterms:W3CDTF">2019-04-11T13:52:00Z</dcterms:created>
  <dcterms:modified xsi:type="dcterms:W3CDTF">2019-04-11T13:52:00Z</dcterms:modified>
</cp:coreProperties>
</file>